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74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C13B24" w:rsidR="00C13B24">
        <w:rPr>
          <w:rFonts w:ascii="Times New Roman" w:hAnsi="Times New Roman" w:cs="Times New Roman"/>
          <w:bCs/>
          <w:sz w:val="28"/>
          <w:szCs w:val="28"/>
        </w:rPr>
        <w:t>003477-87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B61F8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C6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Костыревой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Евгеньевны,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уроженки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A4411B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37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219C6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4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 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Костыревой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24.09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Костырева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11.2023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рассрочка по уплате штрафа не предоставлялась. 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уплачен 01.12.2023.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Костыревой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A441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13B24"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Костырева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Костыревой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41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Костырева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Костыревой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Костырева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2FD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-копией чека об уплате штрафа 01.12.2023.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4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которого 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Костырева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оплатил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719"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Костыревой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9219C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Евгеньевну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FD"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0412365400545006932420144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4411B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4411B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